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textAlignment w:val="baseline"/>
        <w:rPr>
          <w:rFonts w:hint="default" w:asciiTheme="majorAscii" w:hAnsiTheme="majorAscii"/>
          <w:b/>
          <w:bCs/>
          <w:sz w:val="24"/>
          <w:szCs w:val="24"/>
          <w:lang w:val="en-US" w:eastAsia="zh-CN"/>
        </w:rPr>
      </w:pPr>
      <w:r>
        <w:rPr>
          <w:rFonts w:hint="eastAsia" w:asciiTheme="majorAscii" w:hAnsiTheme="majorAscii"/>
          <w:b/>
          <w:bCs/>
          <w:sz w:val="24"/>
          <w:szCs w:val="24"/>
          <w:lang w:val="en-US" w:eastAsia="zh-CN"/>
        </w:rPr>
        <w:t xml:space="preserve">Guangzhou </w:t>
      </w:r>
      <w:r>
        <w:rPr>
          <w:rFonts w:hint="default" w:asciiTheme="majorAscii" w:hAnsiTheme="majorAscii"/>
          <w:b/>
          <w:bCs/>
          <w:sz w:val="24"/>
          <w:szCs w:val="24"/>
          <w:lang w:val="en-US" w:eastAsia="zh-CN"/>
        </w:rPr>
        <w:t xml:space="preserve">Award Scholarship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center"/>
        <w:textAlignment w:val="baseline"/>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Chinese Language Program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asciiTheme="majorAscii" w:hAnsiTheme="majorAscii"/>
          <w:b/>
          <w:bCs/>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I. Purpose of the Program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r>
        <w:rPr>
          <w:rFonts w:hint="default"/>
          <w:lang w:val="en-US" w:eastAsia="zh-CN"/>
        </w:rPr>
        <w:t>This program leverages language and cultural exchange as a bridge to create more opportunities for international students to learn Chinese. It aims to help international friends gain a deeper understanding of Chinese culture, particularly Lingnan culture, while also sharing the stories of China and Guangzhou. Furthermore, the program promotes cross-cultural learning and fosters friendly cooperation and development among global cities.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II. Course Arrangement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r>
        <w:rPr>
          <w:rFonts w:hint="default"/>
          <w:lang w:val="en-US" w:eastAsia="zh-CN"/>
        </w:rPr>
        <w:t>Admitted candidates can choose one of the following three Chinese language training courses organized by Guangzhou University based on their proficiency level:</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eastAsia"/>
          <w:b/>
          <w:bCs/>
          <w:lang w:val="en-US" w:eastAsia="zh-CN"/>
        </w:rPr>
        <w:t xml:space="preserve">Elementary </w:t>
      </w:r>
      <w:r>
        <w:rPr>
          <w:rFonts w:hint="default"/>
          <w:b/>
          <w:bCs/>
          <w:lang w:val="en-US" w:eastAsia="zh-CN"/>
        </w:rPr>
        <w:t>Chinese Courses</w:t>
      </w:r>
      <w:r>
        <w:rPr>
          <w:rFonts w:hint="default"/>
          <w:lang w:val="en-US" w:eastAsia="zh-CN"/>
        </w:rPr>
        <w:t xml:space="preserve"> – Designed for students with no prior experience in Chinese or those who have learned Pinyin and mastered around 600 words. Courses may include </w:t>
      </w:r>
      <w:r>
        <w:rPr>
          <w:rFonts w:hint="eastAsia"/>
          <w:lang w:val="en-US" w:eastAsia="zh-CN"/>
        </w:rPr>
        <w:t xml:space="preserve">Elementary </w:t>
      </w:r>
      <w:r>
        <w:rPr>
          <w:rFonts w:hint="default"/>
          <w:lang w:val="en-US" w:eastAsia="zh-CN"/>
        </w:rPr>
        <w:t xml:space="preserve">Chinese Comprehensive, </w:t>
      </w:r>
      <w:r>
        <w:rPr>
          <w:rFonts w:hint="eastAsia"/>
          <w:lang w:val="en-US" w:eastAsia="zh-CN"/>
        </w:rPr>
        <w:t xml:space="preserve">Elementary </w:t>
      </w:r>
      <w:r>
        <w:rPr>
          <w:rFonts w:hint="default"/>
          <w:lang w:val="en-US" w:eastAsia="zh-CN"/>
        </w:rPr>
        <w:t xml:space="preserve">Chinese Listening, </w:t>
      </w:r>
      <w:r>
        <w:rPr>
          <w:rFonts w:hint="eastAsia"/>
          <w:lang w:val="en-US" w:eastAsia="zh-CN"/>
        </w:rPr>
        <w:t xml:space="preserve">Elementary </w:t>
      </w:r>
      <w:r>
        <w:rPr>
          <w:rFonts w:hint="default"/>
          <w:lang w:val="en-US" w:eastAsia="zh-CN"/>
        </w:rPr>
        <w:t xml:space="preserve">Chinese Speaking, and </w:t>
      </w:r>
      <w:r>
        <w:rPr>
          <w:rFonts w:hint="eastAsia"/>
          <w:lang w:val="en-US" w:eastAsia="zh-CN"/>
        </w:rPr>
        <w:t xml:space="preserve">Elementary </w:t>
      </w:r>
      <w:r>
        <w:rPr>
          <w:rFonts w:hint="default"/>
          <w:lang w:val="en-US" w:eastAsia="zh-CN"/>
        </w:rPr>
        <w:t>Chinese Characters.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default"/>
          <w:b/>
          <w:bCs/>
          <w:lang w:val="en-US" w:eastAsia="zh-CN"/>
        </w:rPr>
        <w:t>Intermediate Chinese Courses</w:t>
      </w:r>
      <w:r>
        <w:rPr>
          <w:rFonts w:hint="default"/>
          <w:lang w:val="en-US" w:eastAsia="zh-CN"/>
        </w:rPr>
        <w:t xml:space="preserve"> – Intended for students who have mastered approximately 2,000 words. Courses may include Intermediate Chinese Comprehensive, Intermediate Chinese Listening, Intermediate Chinese Speaking, Intermediate Chinese Reading, Intermediate Chinese Writing, Chinese Culture, and HSK (Chinese Proficiency Test) Preparation.</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default"/>
          <w:b/>
          <w:bCs/>
          <w:lang w:val="en-US" w:eastAsia="zh-CN"/>
        </w:rPr>
        <w:t>Advanced Chinese Courses</w:t>
      </w:r>
      <w:r>
        <w:rPr>
          <w:rFonts w:hint="default"/>
          <w:lang w:val="en-US" w:eastAsia="zh-CN"/>
        </w:rPr>
        <w:t xml:space="preserve"> – Suitable for students who have mastered approximately 4,500 words. Courses may include Advanced Chinese Comprehensive, Advanced Chinese Listening, Advanced Chinese Speaking, Advanced Chinese Writing, Selected Readings of Chinese Newspapers and Magazines, and An Overview of China.</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default"/>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74"/>
        <w:gridCol w:w="3200"/>
        <w:gridCol w:w="1097"/>
        <w:gridCol w:w="2154"/>
      </w:tblGrid>
      <w:tr>
        <w:trPr>
          <w:trHeight w:val="624" w:hRule="exact"/>
          <w:tblHeader/>
          <w:jc w:val="center"/>
        </w:trPr>
        <w:tc>
          <w:tcPr>
            <w:tcW w:w="1374"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cs="Times New Roman"/>
                <w:b/>
                <w:bCs/>
                <w:spacing w:val="6"/>
                <w:sz w:val="18"/>
                <w:szCs w:val="18"/>
              </w:rPr>
            </w:pPr>
            <w:r>
              <w:rPr>
                <w:rFonts w:hint="default" w:ascii="Times New Roman" w:hAnsi="Times New Roman" w:eastAsia="宋体" w:cs="Times New Roman"/>
                <w:b/>
                <w:bCs/>
                <w:spacing w:val="6"/>
                <w:kern w:val="0"/>
                <w:sz w:val="18"/>
                <w:szCs w:val="18"/>
                <w:lang w:val="en-US" w:eastAsia="zh-CN" w:bidi="ar"/>
              </w:rPr>
              <w:t>Course</w:t>
            </w: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cs="Times New Roman"/>
                <w:b/>
                <w:bCs/>
                <w:spacing w:val="6"/>
                <w:sz w:val="18"/>
                <w:szCs w:val="18"/>
              </w:rPr>
            </w:pPr>
            <w:r>
              <w:rPr>
                <w:rFonts w:hint="default" w:ascii="Times New Roman" w:hAnsi="Times New Roman" w:cs="Times New Roman"/>
                <w:b/>
                <w:bCs/>
                <w:spacing w:val="6"/>
                <w:sz w:val="18"/>
                <w:szCs w:val="18"/>
                <w:lang w:val="en-US"/>
              </w:rPr>
              <w:t>R</w:t>
            </w:r>
            <w:r>
              <w:rPr>
                <w:rFonts w:hint="default" w:ascii="Times New Roman" w:hAnsi="Times New Roman" w:cs="Times New Roman"/>
                <w:b/>
                <w:bCs/>
                <w:spacing w:val="6"/>
                <w:sz w:val="18"/>
                <w:szCs w:val="18"/>
              </w:rPr>
              <w:t>equired</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cs="Times New Roman"/>
                <w:b/>
                <w:bCs/>
                <w:spacing w:val="6"/>
                <w:sz w:val="18"/>
                <w:szCs w:val="18"/>
                <w:lang w:val="en-US"/>
              </w:rPr>
            </w:pPr>
            <w:r>
              <w:rPr>
                <w:rFonts w:hint="default" w:ascii="Times New Roman" w:hAnsi="Times New Roman" w:eastAsia="宋体" w:cs="Times New Roman"/>
                <w:b/>
                <w:bCs/>
                <w:spacing w:val="6"/>
                <w:kern w:val="0"/>
                <w:sz w:val="18"/>
                <w:szCs w:val="18"/>
                <w:lang w:val="en-US" w:eastAsia="zh-CN" w:bidi="ar"/>
              </w:rPr>
              <w:t>Hours/Week</w:t>
            </w:r>
          </w:p>
        </w:tc>
        <w:tc>
          <w:tcPr>
            <w:tcW w:w="2154"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cs="Times New Roman"/>
                <w:b/>
                <w:bCs/>
                <w:spacing w:val="6"/>
                <w:sz w:val="18"/>
                <w:szCs w:val="18"/>
              </w:rPr>
            </w:pPr>
            <w:r>
              <w:rPr>
                <w:rFonts w:hint="default" w:ascii="Times New Roman" w:hAnsi="Times New Roman" w:cs="Times New Roman"/>
                <w:b/>
                <w:bCs/>
                <w:spacing w:val="6"/>
                <w:sz w:val="18"/>
                <w:szCs w:val="18"/>
                <w:lang w:val="en-US"/>
              </w:rPr>
              <w:t>E</w:t>
            </w:r>
            <w:r>
              <w:rPr>
                <w:rFonts w:hint="default" w:ascii="Times New Roman" w:hAnsi="Times New Roman" w:cs="Times New Roman"/>
                <w:b/>
                <w:bCs/>
                <w:spacing w:val="6"/>
                <w:sz w:val="18"/>
                <w:szCs w:val="18"/>
              </w:rPr>
              <w:t>lective</w:t>
            </w:r>
          </w:p>
        </w:tc>
      </w:tr>
      <w:tr>
        <w:trPr>
          <w:trHeight w:val="482" w:hRule="exact"/>
          <w:jc w:val="center"/>
        </w:trPr>
        <w:tc>
          <w:tcPr>
            <w:tcW w:w="1374" w:type="dxa"/>
            <w:vMerge w:val="restart"/>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Elementary Chinese</w:t>
            </w: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Elementary Chinese Comprehensive</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8</w:t>
            </w:r>
          </w:p>
        </w:tc>
        <w:tc>
          <w:tcPr>
            <w:tcW w:w="2154" w:type="dxa"/>
            <w:vMerge w:val="restart"/>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Tai Chi, Chinese Martial Arts, Chinese Calligraphy, Chinese Culture, Chinese Chess and Go, etc. Other professional subjects can also be selected. (Note: Elective courses are 2 hours per week)</w:t>
            </w: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Elementary Chinese Speaking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4</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20"/>
                <w:szCs w:val="20"/>
                <w:lang w:val="en-US" w:eastAsia="zh-CN" w:bidi="ar"/>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Elementary Chinese Listening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4</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20"/>
                <w:szCs w:val="20"/>
                <w:lang w:val="en-US" w:eastAsia="zh-CN" w:bidi="ar"/>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Elementary Chinese Characters</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2</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20"/>
                <w:szCs w:val="20"/>
                <w:lang w:val="en-US" w:eastAsia="zh-CN" w:bidi="ar"/>
              </w:rPr>
            </w:pPr>
          </w:p>
        </w:tc>
      </w:tr>
      <w:tr>
        <w:trPr>
          <w:trHeight w:val="482" w:hRule="exact"/>
          <w:jc w:val="center"/>
        </w:trPr>
        <w:tc>
          <w:tcPr>
            <w:tcW w:w="1374" w:type="dxa"/>
            <w:vMerge w:val="restart"/>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Intermediate Chinese</w:t>
            </w: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Intermediate Chinese Comprehensive</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8</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Intermediate Chinese Speaking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4</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Intermediate Chinese Listening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4</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Intermediate Chinese Writing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2</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HSK Tutoring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2</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restart"/>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Advanced Chinese</w:t>
            </w: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Advanced Chinese Comprehensive</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cs="Times New Roman"/>
                <w:spacing w:val="3"/>
                <w:sz w:val="18"/>
                <w:szCs w:val="18"/>
              </w:rPr>
            </w:pPr>
            <w:r>
              <w:rPr>
                <w:rFonts w:hint="default" w:ascii="Times New Roman" w:hAnsi="Times New Roman" w:eastAsia="宋体" w:cs="Times New Roman"/>
                <w:spacing w:val="3"/>
                <w:kern w:val="0"/>
                <w:sz w:val="18"/>
                <w:szCs w:val="18"/>
                <w:lang w:val="en-US" w:eastAsia="zh-CN" w:bidi="ar"/>
              </w:rPr>
              <w:t>6</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Advanced Chinese Speaking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4</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Advanced Chinese Listening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4</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Advanced Chinese Reading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2</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Advanced Chinese Writing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2</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r>
        <w:trPr>
          <w:trHeight w:val="482" w:hRule="exact"/>
          <w:jc w:val="center"/>
        </w:trPr>
        <w:tc>
          <w:tcPr>
            <w:tcW w:w="1374" w:type="dxa"/>
            <w:vMerge w:val="continue"/>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p>
        </w:tc>
        <w:tc>
          <w:tcPr>
            <w:tcW w:w="3200"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both"/>
              <w:textAlignment w:val="center"/>
              <w:rPr>
                <w:rFonts w:hint="default" w:ascii="Times New Roman" w:hAnsi="Times New Roman" w:eastAsia="宋体" w:cs="Times New Roman"/>
                <w:spacing w:val="3"/>
                <w:kern w:val="0"/>
                <w:sz w:val="18"/>
                <w:szCs w:val="18"/>
                <w:lang w:val="en-US" w:eastAsia="zh-CN" w:bidi="ar"/>
              </w:rPr>
            </w:pPr>
            <w:r>
              <w:rPr>
                <w:rFonts w:hint="default" w:ascii="Times New Roman" w:hAnsi="Times New Roman" w:eastAsia="宋体" w:cs="Times New Roman"/>
                <w:spacing w:val="3"/>
                <w:kern w:val="0"/>
                <w:sz w:val="18"/>
                <w:szCs w:val="18"/>
                <w:lang w:val="en-US" w:eastAsia="zh-CN" w:bidi="ar"/>
              </w:rPr>
              <w:t>HSK Tutoring</w:t>
            </w:r>
          </w:p>
        </w:tc>
        <w:tc>
          <w:tcPr>
            <w:tcW w:w="1097" w:type="dxa"/>
            <w:tcBorders>
              <w:tl2br w:val="nil"/>
              <w:tr2bl w:val="nil"/>
            </w:tcBorders>
            <w:shd w:val="clear" w:color="auto" w:fill="auto"/>
            <w:tcMar>
              <w:top w:w="144" w:type="dxa"/>
              <w:left w:w="192" w:type="dxa"/>
              <w:bottom w:w="144" w:type="dxa"/>
              <w:right w:w="192" w:type="dxa"/>
            </w:tcMar>
            <w:vAlign w:val="center"/>
          </w:tcPr>
          <w:p>
            <w:pPr>
              <w:keepNext w:val="0"/>
              <w:keepLines w:val="0"/>
              <w:widowControl/>
              <w:suppressLineNumbers w:val="0"/>
              <w:spacing w:before="0" w:beforeAutospacing="0" w:after="0" w:afterAutospacing="0" w:line="288" w:lineRule="atLeast"/>
              <w:ind w:left="0" w:right="0"/>
              <w:jc w:val="center"/>
              <w:textAlignment w:val="center"/>
              <w:rPr>
                <w:rFonts w:hint="default" w:ascii="Times New Roman" w:hAnsi="Times New Roman" w:eastAsia="宋体" w:cs="Times New Roman"/>
                <w:spacing w:val="3"/>
                <w:kern w:val="0"/>
                <w:sz w:val="18"/>
                <w:szCs w:val="18"/>
                <w:lang w:val="en-US" w:eastAsia="zh-CN" w:bidi="ar"/>
              </w:rPr>
            </w:pPr>
            <w:r>
              <w:rPr>
                <w:rFonts w:hint="eastAsia" w:ascii="Times New Roman" w:hAnsi="Times New Roman" w:eastAsia="宋体" w:cs="Times New Roman"/>
                <w:spacing w:val="3"/>
                <w:kern w:val="0"/>
                <w:sz w:val="18"/>
                <w:szCs w:val="18"/>
                <w:lang w:val="en-US" w:eastAsia="zh-CN" w:bidi="ar"/>
              </w:rPr>
              <w:t>2</w:t>
            </w:r>
          </w:p>
        </w:tc>
        <w:tc>
          <w:tcPr>
            <w:tcW w:w="2154" w:type="dxa"/>
            <w:vMerge w:val="continue"/>
            <w:tcBorders>
              <w:tl2br w:val="nil"/>
              <w:tr2bl w:val="nil"/>
            </w:tcBorders>
            <w:shd w:val="clear" w:color="auto" w:fill="auto"/>
            <w:tcMar>
              <w:top w:w="144" w:type="dxa"/>
              <w:left w:w="192" w:type="dxa"/>
              <w:bottom w:w="144" w:type="dxa"/>
              <w:right w:w="192" w:type="dxa"/>
            </w:tcMar>
            <w:vAlign w:val="center"/>
          </w:tcPr>
          <w:p>
            <w:pPr>
              <w:jc w:val="both"/>
              <w:rPr>
                <w:rFonts w:hint="default" w:ascii="Times New Roman" w:hAnsi="Times New Roman" w:cs="Times New Roman"/>
                <w:spacing w:val="3"/>
                <w:sz w:val="20"/>
                <w:szCs w:val="20"/>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0"/>
        <w:jc w:val="both"/>
        <w:textAlignment w:val="baseline"/>
        <w:rPr>
          <w:rFonts w:hint="default" w:ascii="Times New Roman" w:hAnsi="Times New Roman" w:eastAsia="Helvetica" w:cs="Times New Roman"/>
          <w:i w:val="0"/>
          <w:iCs w:val="0"/>
          <w:caps w:val="0"/>
          <w:color w:val="060607"/>
          <w:spacing w:val="3"/>
          <w:kern w:val="0"/>
          <w:sz w:val="20"/>
          <w:szCs w:val="20"/>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r>
        <w:rPr>
          <w:rFonts w:hint="default"/>
          <w:lang w:val="en-US" w:eastAsia="zh-CN"/>
        </w:rPr>
        <w:t>Note: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default"/>
          <w:lang w:val="en-US" w:eastAsia="zh-CN"/>
        </w:rPr>
        <w:t xml:space="preserve">This program </w:t>
      </w:r>
      <w:r>
        <w:rPr>
          <w:rFonts w:hint="eastAsia"/>
          <w:lang w:val="en-US" w:eastAsia="zh-CN"/>
        </w:rPr>
        <w:t>has a minimum duration of one semester (five months), commencing in September 2025 and concluding in January 2026</w:t>
      </w:r>
      <w:r>
        <w:rPr>
          <w:rFonts w:hint="default"/>
          <w:lang w:val="en-US"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eastAsia"/>
          <w:lang w:val="en-US" w:eastAsia="zh-CN"/>
        </w:rPr>
      </w:pPr>
      <w:r>
        <w:rPr>
          <w:rFonts w:hint="eastAsia"/>
          <w:lang w:val="en-US" w:eastAsia="zh-CN"/>
        </w:rPr>
        <w:t>This is an in-person course. Admitted students are required to attend classes on campus.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eastAsia"/>
          <w:lang w:val="en-US" w:eastAsia="zh-CN"/>
        </w:rPr>
        <w:t>Upon successful completion of the program, students will receive a notarized course certificate issued by Guangzhou University.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III. Scope of Scholarship and Other Expenses</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default"/>
          <w:lang w:val="en-US" w:eastAsia="zh-CN"/>
        </w:rPr>
        <w:t xml:space="preserve">Selected scholarship recipients will receive </w:t>
      </w:r>
      <w:r>
        <w:rPr>
          <w:rFonts w:hint="default"/>
          <w:b w:val="0"/>
          <w:bCs w:val="0"/>
          <w:lang w:val="en-US" w:eastAsia="zh-CN"/>
        </w:rPr>
        <w:t>full tuition</w:t>
      </w:r>
      <w:r>
        <w:rPr>
          <w:rFonts w:hint="default"/>
          <w:lang w:val="en-US" w:eastAsia="zh-CN"/>
        </w:rPr>
        <w:t xml:space="preserve"> coverage for their Chinese language courses at Guangzhou University. </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b w:val="0"/>
          <w:bCs w:val="0"/>
          <w:lang w:val="en-US" w:eastAsia="zh-CN"/>
        </w:rPr>
      </w:pPr>
      <w:r>
        <w:rPr>
          <w:rFonts w:hint="default"/>
          <w:b w:val="0"/>
          <w:bCs w:val="0"/>
          <w:lang w:val="en-US" w:eastAsia="zh-CN"/>
        </w:rPr>
        <w:t>Travel expenses to and from Guangzhou, visa fees, and living costs—including accommodation, food, and medical insurance—shall be borne by the students themselves.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IV. Application and Enrollment Time</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default"/>
          <w:lang w:val="en-US" w:eastAsia="zh-CN"/>
        </w:rPr>
        <w:t>Application Deadline: April 30, 2025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default"/>
          <w:lang w:val="en-US" w:eastAsia="zh-CN"/>
        </w:rPr>
        <w:t>Notification of Admission: July 2025</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0" w:right="0" w:hanging="420" w:firstLineChars="0"/>
        <w:jc w:val="both"/>
        <w:textAlignment w:val="baseline"/>
        <w:rPr>
          <w:rFonts w:hint="default"/>
          <w:lang w:val="en-US" w:eastAsia="zh-CN"/>
        </w:rPr>
      </w:pPr>
      <w:r>
        <w:rPr>
          <w:rFonts w:hint="default"/>
          <w:lang w:val="en-US" w:eastAsia="zh-CN"/>
        </w:rPr>
        <w:t>Enrollment Time: September 2025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V. Application Guidelines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b/>
          <w:bCs/>
          <w:lang w:val="en-US" w:eastAsia="zh-CN"/>
        </w:rPr>
      </w:pPr>
      <w:r>
        <w:rPr>
          <w:rFonts w:hint="default"/>
          <w:b/>
          <w:bCs/>
          <w:lang w:val="en-US" w:eastAsia="zh-CN"/>
        </w:rPr>
        <w:t>General Requirements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5" w:leftChars="0" w:right="0" w:hanging="425" w:firstLineChars="0"/>
        <w:jc w:val="both"/>
        <w:textAlignment w:val="baseline"/>
        <w:rPr>
          <w:rFonts w:hint="default"/>
          <w:lang w:val="en-US" w:eastAsia="zh-CN"/>
        </w:rPr>
      </w:pPr>
      <w:r>
        <w:rPr>
          <w:rFonts w:hint="default"/>
          <w:lang w:val="en-US" w:eastAsia="zh-CN"/>
        </w:rPr>
        <w:t>Non-Chinese nationals holding a valid passport;</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5" w:leftChars="0" w:right="0" w:hanging="425" w:firstLineChars="0"/>
        <w:jc w:val="both"/>
        <w:textAlignment w:val="baseline"/>
        <w:rPr>
          <w:rFonts w:hint="default"/>
          <w:lang w:val="en-US" w:eastAsia="zh-CN"/>
        </w:rPr>
      </w:pPr>
      <w:r>
        <w:rPr>
          <w:rFonts w:hint="default"/>
          <w:lang w:val="en-US" w:eastAsia="zh-CN"/>
        </w:rPr>
        <w:t>F</w:t>
      </w:r>
      <w:r>
        <w:rPr>
          <w:rFonts w:hint="eastAsia"/>
          <w:lang w:val="en-US" w:eastAsia="zh-CN"/>
        </w:rPr>
        <w:t xml:space="preserve">riendly toward China, have no criminal record, and abide by the laws and regulations of the Chinese government as well as the </w:t>
      </w:r>
      <w:r>
        <w:rPr>
          <w:rFonts w:hint="default"/>
          <w:lang w:val="en-US" w:eastAsia="zh-CN"/>
        </w:rPr>
        <w:t>school'</w:t>
      </w:r>
      <w:r>
        <w:rPr>
          <w:rFonts w:hint="eastAsia"/>
          <w:lang w:val="en-US" w:eastAsia="zh-CN"/>
        </w:rPr>
        <w:t>s policies;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5" w:leftChars="0" w:right="0" w:hanging="425" w:firstLineChars="0"/>
        <w:jc w:val="both"/>
        <w:textAlignment w:val="baseline"/>
        <w:rPr>
          <w:rFonts w:hint="default"/>
          <w:lang w:val="en-US" w:eastAsia="zh-CN"/>
        </w:rPr>
      </w:pPr>
      <w:r>
        <w:rPr>
          <w:rFonts w:hint="default"/>
          <w:lang w:val="en-US" w:eastAsia="zh-CN"/>
        </w:rPr>
        <w:t xml:space="preserve">In good health, </w:t>
      </w:r>
      <w:r>
        <w:rPr>
          <w:rFonts w:hint="eastAsia"/>
          <w:lang w:val="en-US" w:eastAsia="zh-CN"/>
        </w:rPr>
        <w:t>free from infectious diseases, or any physical or mental conditions that may affect normal studies.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leftChars="0" w:right="0" w:firstLine="0" w:firstLineChars="0"/>
        <w:jc w:val="both"/>
        <w:textAlignment w:val="baseline"/>
        <w:rPr>
          <w:rFonts w:hint="default"/>
          <w:b/>
          <w:bCs/>
          <w:lang w:val="en-US" w:eastAsia="zh-CN"/>
        </w:rPr>
      </w:pPr>
      <w:r>
        <w:rPr>
          <w:rFonts w:hint="default"/>
          <w:b/>
          <w:bCs/>
          <w:lang w:val="en-US" w:eastAsia="zh-CN"/>
        </w:rPr>
        <w:t>Education and Language</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5" w:leftChars="0" w:right="0" w:hanging="425" w:firstLineChars="0"/>
        <w:jc w:val="both"/>
        <w:textAlignment w:val="baseline"/>
        <w:rPr>
          <w:rFonts w:hint="default"/>
          <w:lang w:val="en-US" w:eastAsia="zh-CN"/>
        </w:rPr>
      </w:pPr>
      <w:r>
        <w:rPr>
          <w:rFonts w:hint="eastAsia"/>
          <w:lang w:val="en-US" w:eastAsia="zh-CN"/>
        </w:rPr>
        <w:t>Applicants must hold a bachelor's degree or higher and provide relevant academic credentials.</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5" w:leftChars="0" w:right="0" w:hanging="425" w:firstLineChars="0"/>
        <w:jc w:val="both"/>
        <w:textAlignment w:val="baseline"/>
        <w:rPr>
          <w:rFonts w:hint="default"/>
          <w:lang w:val="en-US" w:eastAsia="zh-CN"/>
        </w:rPr>
      </w:pPr>
      <w:r>
        <w:rPr>
          <w:rFonts w:hint="eastAsia"/>
          <w:lang w:val="en-US" w:eastAsia="zh-CN"/>
        </w:rPr>
        <w:t xml:space="preserve">Applicants (except native English speakers) must submit proof of </w:t>
      </w:r>
      <w:r>
        <w:rPr>
          <w:rFonts w:hint="eastAsia"/>
          <w:b/>
          <w:bCs/>
          <w:lang w:val="en-US" w:eastAsia="zh-CN"/>
        </w:rPr>
        <w:t xml:space="preserve">one of the following </w:t>
      </w:r>
      <w:r>
        <w:rPr>
          <w:rFonts w:hint="eastAsia"/>
          <w:lang w:val="en-US" w:eastAsia="zh-CN"/>
        </w:rPr>
        <w:t>English proficiency test scores obtained within the past two years</w:t>
      </w:r>
      <w:r>
        <w:rPr>
          <w:rFonts w:hint="default"/>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200" w:right="0" w:firstLine="0"/>
        <w:jc w:val="both"/>
        <w:textAlignment w:val="baseline"/>
        <w:rPr>
          <w:rFonts w:hint="default"/>
          <w:lang w:val="en-US" w:eastAsia="zh-CN"/>
        </w:rPr>
      </w:pPr>
      <w:r>
        <w:rPr>
          <w:rFonts w:hint="default"/>
          <w:lang w:val="en-US" w:eastAsia="zh-CN"/>
        </w:rPr>
        <w:t>·</w:t>
      </w:r>
      <w:r>
        <w:rPr>
          <w:rFonts w:hint="eastAsia"/>
          <w:lang w:val="en-US" w:eastAsia="zh-CN"/>
        </w:rPr>
        <w:t xml:space="preserve">  A minimum TOEFL iBT score of 90</w:t>
      </w:r>
      <w:r>
        <w:rPr>
          <w:rFonts w:hint="default"/>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200" w:right="0" w:firstLine="0"/>
        <w:jc w:val="both"/>
        <w:textAlignment w:val="baseline"/>
        <w:rPr>
          <w:rFonts w:hint="default"/>
          <w:lang w:val="en-US" w:eastAsia="zh-CN"/>
        </w:rPr>
      </w:pPr>
      <w:r>
        <w:rPr>
          <w:rFonts w:hint="default"/>
          <w:lang w:val="en-US" w:eastAsia="zh-CN"/>
        </w:rPr>
        <w:t>·</w:t>
      </w:r>
      <w:r>
        <w:rPr>
          <w:rFonts w:hint="eastAsia"/>
          <w:lang w:val="en-US" w:eastAsia="zh-CN"/>
        </w:rPr>
        <w:t xml:space="preserve">  A minimum IELTS score of 6.5</w:t>
      </w:r>
      <w:r>
        <w:rPr>
          <w:rFonts w:hint="default"/>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0" w:leftChars="200" w:right="0" w:firstLine="0"/>
        <w:jc w:val="both"/>
        <w:textAlignment w:val="baseline"/>
        <w:rPr>
          <w:rFonts w:hint="default"/>
          <w:lang w:val="en-US" w:eastAsia="zh-CN"/>
        </w:rPr>
      </w:pPr>
      <w:r>
        <w:rPr>
          <w:rFonts w:hint="default"/>
          <w:lang w:val="en-US" w:eastAsia="zh-CN"/>
        </w:rPr>
        <w:t>·</w:t>
      </w:r>
      <w:r>
        <w:rPr>
          <w:rFonts w:hint="eastAsia"/>
          <w:lang w:val="en-US" w:eastAsia="zh-CN"/>
        </w:rPr>
        <w:t xml:space="preserve">  A minimum Duolingo English Test score of 120</w:t>
      </w:r>
      <w:r>
        <w:rPr>
          <w:rFonts w:hint="default"/>
          <w:lang w:val="en-US" w:eastAsia="zh-CN"/>
        </w:rPr>
        <w: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425" w:leftChars="0" w:right="0" w:rightChars="0" w:hanging="425" w:firstLineChars="0"/>
        <w:jc w:val="both"/>
        <w:textAlignment w:val="baseline"/>
        <w:rPr>
          <w:rFonts w:hint="eastAsia"/>
          <w:lang w:val="en-US" w:eastAsia="zh-CN"/>
        </w:rPr>
      </w:pPr>
      <w:r>
        <w:rPr>
          <w:rFonts w:hint="eastAsia"/>
          <w:lang w:val="en-US" w:eastAsia="zh-CN"/>
        </w:rPr>
        <w:t>If available, applicants are also encouraged to submit their Chinese Proficiency Test (HSK) results. However, there are no strict requirements regarding the HSK level or specific scores.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default"/>
          <w:lang w:val="en-US" w:eastAsia="zh-CN"/>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leftChars="0" w:right="0" w:firstLine="0" w:firstLineChars="0"/>
        <w:jc w:val="both"/>
        <w:textAlignment w:val="baseline"/>
        <w:rPr>
          <w:rFonts w:hint="default"/>
          <w:b/>
          <w:bCs/>
          <w:lang w:val="en-US" w:eastAsia="zh-CN"/>
        </w:rPr>
      </w:pPr>
      <w:r>
        <w:rPr>
          <w:rFonts w:hint="default"/>
          <w:b/>
          <w:bCs/>
          <w:lang w:val="en-US" w:eastAsia="zh-CN"/>
        </w:rPr>
        <w:t>Age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r>
        <w:rPr>
          <w:rFonts w:hint="default"/>
          <w:lang w:val="en-US" w:eastAsia="zh-CN"/>
        </w:rPr>
        <w:t>In principle, applicants should be at least 18 years old and no older than 35 years old.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leftChars="0" w:right="0" w:firstLine="0" w:firstLineChars="0"/>
        <w:jc w:val="both"/>
        <w:textAlignment w:val="baseline"/>
        <w:rPr>
          <w:rFonts w:hint="default"/>
          <w:b/>
          <w:bCs/>
          <w:lang w:val="en-US" w:eastAsia="zh-CN"/>
        </w:rPr>
      </w:pPr>
      <w:r>
        <w:rPr>
          <w:rFonts w:hint="default"/>
          <w:b/>
          <w:bCs/>
          <w:lang w:val="en-US" w:eastAsia="zh-CN"/>
        </w:rPr>
        <w:t>How to Apply</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eastAsia"/>
          <w:lang w:val="en-US" w:eastAsia="zh-CN"/>
        </w:rPr>
      </w:pPr>
      <w:r>
        <w:rPr>
          <w:rFonts w:hint="eastAsia"/>
          <w:lang w:val="en-US" w:eastAsia="zh-CN"/>
        </w:rPr>
        <w:t xml:space="preserve">Complete the attached </w:t>
      </w:r>
      <w:r>
        <w:rPr>
          <w:rFonts w:hint="eastAsia"/>
          <w:b/>
          <w:bCs/>
          <w:i/>
          <w:iCs/>
          <w:lang w:val="en-US" w:eastAsia="zh-CN"/>
        </w:rPr>
        <w:t>Application Form</w:t>
      </w:r>
      <w:r>
        <w:rPr>
          <w:rFonts w:hint="eastAsia"/>
          <w:lang w:val="en-US" w:eastAsia="zh-CN"/>
        </w:rPr>
        <w:t xml:space="preserve"> and </w:t>
      </w:r>
      <w:r>
        <w:rPr>
          <w:rFonts w:hint="default"/>
          <w:lang w:val="en-US" w:eastAsia="zh-CN"/>
        </w:rPr>
        <w:t xml:space="preserve">submit it, along with </w:t>
      </w:r>
      <w:r>
        <w:rPr>
          <w:rFonts w:hint="eastAsia"/>
          <w:lang w:val="en-US" w:eastAsia="zh-CN"/>
        </w:rPr>
        <w:t>the required supporting documents listed below</w:t>
      </w:r>
      <w:r>
        <w:rPr>
          <w:rFonts w:hint="default"/>
          <w:lang w:val="en-US" w:eastAsia="zh-CN"/>
        </w:rPr>
        <w:t>,</w:t>
      </w:r>
      <w:r>
        <w:rPr>
          <w:rFonts w:hint="eastAsia"/>
          <w:lang w:val="en-US" w:eastAsia="zh-CN"/>
        </w:rPr>
        <w:t xml:space="preserve"> to the email address of Guangzhou University International Education College (</w:t>
      </w:r>
      <w:r>
        <w:rPr>
          <w:rFonts w:hint="eastAsia"/>
          <w:color w:val="0000FF"/>
          <w:u w:val="single"/>
          <w:lang w:val="en-US" w:eastAsia="zh-CN"/>
        </w:rPr>
        <w:t>gjjyxy@gzhu.edu.cn</w:t>
      </w:r>
      <w:r>
        <w:rPr>
          <w:rFonts w:hint="eastAsia"/>
          <w:lang w:val="en-US" w:eastAsia="zh-CN"/>
        </w:rPr>
        <w:t>), with a copy to the Guangzhou Award Office (</w:t>
      </w:r>
      <w:r>
        <w:rPr>
          <w:rFonts w:hint="eastAsia"/>
          <w:color w:val="0000FF"/>
          <w:u w:val="single"/>
          <w:lang w:val="en-US" w:eastAsia="zh-CN"/>
        </w:rPr>
        <w:t>info@guangzhouaward</w:t>
      </w:r>
      <w:r>
        <w:rPr>
          <w:rFonts w:hint="eastAsia"/>
          <w:lang w:val="en-US"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eastAsia"/>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200" w:right="0" w:rightChars="0"/>
        <w:jc w:val="both"/>
        <w:textAlignment w:val="baseline"/>
        <w:rPr>
          <w:rFonts w:hint="eastAsia"/>
          <w:b/>
          <w:bCs/>
          <w:lang w:val="en-US" w:eastAsia="zh-CN"/>
        </w:rPr>
      </w:pPr>
      <w:r>
        <w:rPr>
          <w:rFonts w:hint="eastAsia"/>
          <w:b/>
          <w:bCs/>
          <w:lang w:val="en-US" w:eastAsia="zh-CN"/>
        </w:rPr>
        <w:t>Required supporting documents: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200" w:right="0" w:rightChars="0"/>
        <w:jc w:val="both"/>
        <w:textAlignment w:val="baseline"/>
        <w:rPr>
          <w:rFonts w:hint="eastAsia"/>
          <w:lang w:val="en-US" w:eastAsia="zh-CN"/>
        </w:rPr>
      </w:pP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845" w:leftChars="0" w:right="0" w:rightChars="0" w:hanging="425" w:firstLineChars="0"/>
        <w:jc w:val="both"/>
        <w:textAlignment w:val="baseline"/>
        <w:rPr>
          <w:rFonts w:hint="eastAsia"/>
          <w:lang w:val="en-US" w:eastAsia="zh-CN"/>
        </w:rPr>
      </w:pPr>
      <w:r>
        <w:rPr>
          <w:rFonts w:hint="eastAsia"/>
          <w:lang w:val="en-US" w:eastAsia="zh-CN"/>
        </w:rPr>
        <w:t>A copy of the photo page of your passport</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845" w:leftChars="0" w:right="0" w:rightChars="0" w:hanging="425" w:firstLineChars="0"/>
        <w:jc w:val="both"/>
        <w:textAlignment w:val="baseline"/>
        <w:rPr>
          <w:rFonts w:hint="eastAsia"/>
          <w:lang w:val="en-US" w:eastAsia="zh-CN"/>
        </w:rPr>
      </w:pPr>
      <w:r>
        <w:rPr>
          <w:rFonts w:hint="eastAsia"/>
          <w:lang w:val="en-US" w:eastAsia="zh-CN"/>
        </w:rPr>
        <w:t>Highest education diploma</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845" w:leftChars="0" w:right="0" w:rightChars="0" w:hanging="425" w:firstLineChars="0"/>
        <w:jc w:val="both"/>
        <w:textAlignment w:val="baseline"/>
        <w:rPr>
          <w:rFonts w:hint="eastAsia"/>
          <w:lang w:val="en-US" w:eastAsia="zh-CN"/>
        </w:rPr>
      </w:pPr>
      <w:r>
        <w:rPr>
          <w:rFonts w:hint="eastAsia"/>
          <w:lang w:val="en-US" w:eastAsia="zh-CN"/>
        </w:rPr>
        <w:t>Notarized health report from a hospital issued within the past six months</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845" w:leftChars="0" w:right="0" w:rightChars="0" w:hanging="425" w:firstLineChars="0"/>
        <w:jc w:val="both"/>
        <w:textAlignment w:val="baseline"/>
        <w:rPr>
          <w:rFonts w:hint="eastAsia"/>
          <w:lang w:val="en-US" w:eastAsia="zh-CN"/>
        </w:rPr>
      </w:pPr>
      <w:r>
        <w:rPr>
          <w:rFonts w:hint="eastAsia"/>
          <w:lang w:val="en-US" w:eastAsia="zh-CN"/>
        </w:rPr>
        <w:t>Notarized non-criminal record certificate issued by the local police station within the past six months</w:t>
      </w:r>
      <w:bookmarkStart w:id="0" w:name="_GoBack"/>
      <w:bookmarkEnd w:id="0"/>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845" w:leftChars="0" w:right="0" w:rightChars="0" w:hanging="425" w:firstLineChars="0"/>
        <w:jc w:val="both"/>
        <w:textAlignment w:val="baseline"/>
        <w:rPr>
          <w:rFonts w:hint="eastAsia"/>
          <w:lang w:val="en-US" w:eastAsia="zh-CN"/>
        </w:rPr>
      </w:pPr>
      <w:r>
        <w:rPr>
          <w:rFonts w:hint="eastAsia"/>
          <w:lang w:val="en-US" w:eastAsia="zh-CN"/>
        </w:rPr>
        <w:t>Resume, with a focus on your educational background</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845" w:leftChars="0" w:right="0" w:rightChars="0" w:hanging="425" w:firstLineChars="0"/>
        <w:jc w:val="both"/>
        <w:textAlignment w:val="baseline"/>
        <w:rPr>
          <w:rFonts w:hint="eastAsia"/>
          <w:lang w:val="en-US" w:eastAsia="zh-CN"/>
        </w:rPr>
      </w:pPr>
      <w:r>
        <w:rPr>
          <w:rFonts w:hint="eastAsia"/>
          <w:lang w:val="en-US" w:eastAsia="zh-CN"/>
        </w:rPr>
        <w:t>Personal electronic ID photo (less than 100KB)</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845" w:leftChars="0" w:right="0" w:rightChars="0" w:hanging="425" w:firstLineChars="0"/>
        <w:jc w:val="both"/>
        <w:textAlignment w:val="baseline"/>
        <w:rPr>
          <w:rFonts w:hint="eastAsia"/>
          <w:lang w:val="en-US" w:eastAsia="zh-CN"/>
        </w:rPr>
      </w:pPr>
      <w:r>
        <w:rPr>
          <w:rFonts w:hint="eastAsia"/>
          <w:lang w:val="en-US" w:eastAsia="zh-CN"/>
        </w:rPr>
        <w:t>Financial guarantee documents proving the ability to financially support yourself during your studies and life at the university</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845" w:leftChars="0" w:right="0" w:rightChars="0" w:hanging="425" w:firstLineChars="0"/>
        <w:jc w:val="both"/>
        <w:textAlignment w:val="baseline"/>
        <w:rPr>
          <w:rFonts w:hint="eastAsia"/>
          <w:lang w:val="en-US" w:eastAsia="zh-CN"/>
        </w:rPr>
      </w:pPr>
      <w:r>
        <w:rPr>
          <w:rFonts w:hint="eastAsia"/>
          <w:lang w:val="en-US" w:eastAsia="zh-CN"/>
        </w:rPr>
        <w:t xml:space="preserve">A recommendation letter from the shortlisted city of the 6th Guangzhou Award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eastAsia"/>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default"/>
          <w:lang w:val="en-US" w:eastAsia="zh-CN"/>
        </w:rPr>
      </w:pPr>
      <w:r>
        <w:rPr>
          <w:rFonts w:hint="default"/>
          <w:b/>
          <w:bCs/>
          <w:lang w:val="en-US" w:eastAsia="zh-CN"/>
        </w:rPr>
        <w:t>Note</w:t>
      </w:r>
      <w:r>
        <w:rPr>
          <w:rFonts w:hint="default"/>
          <w:lang w:val="en-US" w:eastAsia="zh-CN"/>
        </w:rPr>
        <w:t>: Guangzhou University will process the JW202 form (Application Form for a Visa for Foreign Students in China), issue admission notices to admitted international students, and provide guidance on obtaining a visa for China.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asciiTheme="majorAscii" w:hAnsiTheme="majorAscii"/>
          <w:b/>
          <w:bCs/>
          <w:sz w:val="24"/>
          <w:szCs w:val="24"/>
          <w:lang w:val="en-US" w:eastAsia="zh-CN"/>
        </w:rPr>
      </w:pPr>
      <w:r>
        <w:rPr>
          <w:rFonts w:hint="default" w:asciiTheme="majorAscii" w:hAnsiTheme="majorAscii"/>
          <w:b/>
          <w:bCs/>
          <w:sz w:val="24"/>
          <w:szCs w:val="24"/>
          <w:lang w:val="en-US" w:eastAsia="zh-CN"/>
        </w:rPr>
        <w:t>VI. Contact Information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default"/>
          <w:lang w:val="en-US" w:eastAsia="zh-CN"/>
        </w:rPr>
      </w:pPr>
      <w:r>
        <w:rPr>
          <w:rFonts w:hint="default"/>
          <w:lang w:val="en-US" w:eastAsia="zh-CN"/>
        </w:rPr>
        <w:t>If you have any questions regarding this program or the application process, please feel free to contact us at: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default"/>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default"/>
          <w:b/>
          <w:bCs/>
          <w:lang w:val="en-US" w:eastAsia="zh-CN"/>
        </w:rPr>
      </w:pPr>
      <w:r>
        <w:rPr>
          <w:rFonts w:hint="default"/>
          <w:lang w:val="en-US" w:eastAsia="zh-CN"/>
        </w:rPr>
        <w:t xml:space="preserve">(1) </w:t>
      </w:r>
      <w:r>
        <w:rPr>
          <w:rFonts w:hint="default"/>
          <w:b/>
          <w:bCs/>
          <w:lang w:val="en-US" w:eastAsia="zh-CN"/>
        </w:rPr>
        <w:t>Guangzhou Award Secretariat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100" w:right="0" w:rightChars="0"/>
        <w:jc w:val="both"/>
        <w:textAlignment w:val="baseline"/>
        <w:rPr>
          <w:rFonts w:hint="default"/>
          <w:lang w:val="en-US" w:eastAsia="zh-CN"/>
        </w:rPr>
      </w:pPr>
      <w:r>
        <w:rPr>
          <w:rFonts w:hint="default"/>
          <w:lang w:val="en-US" w:eastAsia="zh-CN"/>
        </w:rPr>
        <w:t xml:space="preserve">Email: </w:t>
      </w:r>
      <w:r>
        <w:rPr>
          <w:rFonts w:hint="default"/>
          <w:color w:val="0000FF"/>
          <w:lang w:val="en-US" w:eastAsia="zh-CN"/>
        </w:rPr>
        <w:fldChar w:fldCharType="begin"/>
      </w:r>
      <w:r>
        <w:rPr>
          <w:rFonts w:hint="default"/>
          <w:color w:val="0000FF"/>
          <w:lang w:val="en-US" w:eastAsia="zh-CN"/>
        </w:rPr>
        <w:instrText xml:space="preserve"> HYPERLINK "mailto:info@guangzhouaward.org" \t "https://kimi.moonshot.cn/chat/_blank" </w:instrText>
      </w:r>
      <w:r>
        <w:rPr>
          <w:rFonts w:hint="default"/>
          <w:color w:val="0000FF"/>
          <w:lang w:val="en-US" w:eastAsia="zh-CN"/>
        </w:rPr>
        <w:fldChar w:fldCharType="separate"/>
      </w:r>
      <w:r>
        <w:rPr>
          <w:rFonts w:hint="default"/>
          <w:color w:val="0000FF"/>
          <w:lang w:val="en-US" w:eastAsia="zh-CN"/>
        </w:rPr>
        <w:t>info@guangzhouaward.org</w:t>
      </w:r>
      <w:r>
        <w:rPr>
          <w:rFonts w:hint="default"/>
          <w:color w:val="0000FF"/>
          <w:lang w:val="en-US" w:eastAsia="zh-CN"/>
        </w:rPr>
        <w:fldChar w:fldCharType="end"/>
      </w:r>
      <w:r>
        <w:rPr>
          <w:rFonts w:hint="default"/>
          <w:lang w:val="en-US" w:eastAsia="zh-CN"/>
        </w:rPr>
        <w:t xml:space="preserve">;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100" w:right="0" w:rightChars="0"/>
        <w:jc w:val="both"/>
        <w:textAlignment w:val="baseline"/>
        <w:rPr>
          <w:rFonts w:hint="default"/>
          <w:lang w:val="en-US" w:eastAsia="zh-CN"/>
        </w:rPr>
      </w:pPr>
      <w:r>
        <w:rPr>
          <w:rFonts w:hint="default"/>
          <w:lang w:val="en-US" w:eastAsia="zh-CN"/>
        </w:rPr>
        <w:t>Phone: 0086-20-37804434</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default"/>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0" w:right="0" w:rightChars="0"/>
        <w:jc w:val="both"/>
        <w:textAlignment w:val="baseline"/>
        <w:rPr>
          <w:rFonts w:hint="default"/>
          <w:lang w:val="en-US" w:eastAsia="zh-CN"/>
        </w:rPr>
      </w:pPr>
      <w:r>
        <w:rPr>
          <w:rFonts w:hint="default"/>
          <w:lang w:val="en-US" w:eastAsia="zh-CN"/>
        </w:rPr>
        <w:t xml:space="preserve">(2) </w:t>
      </w:r>
      <w:r>
        <w:rPr>
          <w:rFonts w:hint="default"/>
          <w:b/>
          <w:bCs/>
          <w:lang w:val="en-US" w:eastAsia="zh-CN"/>
        </w:rPr>
        <w:t>Guangzhou University International Education College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100" w:right="0" w:rightChars="0"/>
        <w:jc w:val="both"/>
        <w:textAlignment w:val="baseline"/>
        <w:rPr>
          <w:rFonts w:hint="default"/>
          <w:lang w:val="en-US" w:eastAsia="zh-CN"/>
        </w:rPr>
      </w:pPr>
      <w:r>
        <w:rPr>
          <w:rFonts w:hint="default"/>
          <w:lang w:val="en-US" w:eastAsia="zh-CN"/>
        </w:rPr>
        <w:t>Contact Person: Yang Chunyuan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100" w:right="0" w:rightChars="0"/>
        <w:jc w:val="both"/>
        <w:textAlignment w:val="baseline"/>
        <w:rPr>
          <w:rFonts w:hint="default"/>
          <w:lang w:val="en-US" w:eastAsia="zh-CN"/>
        </w:rPr>
      </w:pPr>
      <w:r>
        <w:rPr>
          <w:rFonts w:hint="default"/>
          <w:lang w:val="en-US" w:eastAsia="zh-CN"/>
        </w:rPr>
        <w:t xml:space="preserve">Email: </w:t>
      </w:r>
      <w:r>
        <w:rPr>
          <w:rFonts w:hint="default"/>
          <w:color w:val="0000FF"/>
          <w:lang w:val="en-US" w:eastAsia="zh-CN"/>
        </w:rPr>
        <w:fldChar w:fldCharType="begin"/>
      </w:r>
      <w:r>
        <w:rPr>
          <w:rFonts w:hint="default"/>
          <w:color w:val="0000FF"/>
          <w:lang w:val="en-US" w:eastAsia="zh-CN"/>
        </w:rPr>
        <w:instrText xml:space="preserve"> HYPERLINK "mailto:gjjyxy@gzhu.edu.cn" \t "https://kimi.moonshot.cn/chat/_blank" </w:instrText>
      </w:r>
      <w:r>
        <w:rPr>
          <w:rFonts w:hint="default"/>
          <w:color w:val="0000FF"/>
          <w:lang w:val="en-US" w:eastAsia="zh-CN"/>
        </w:rPr>
        <w:fldChar w:fldCharType="separate"/>
      </w:r>
      <w:r>
        <w:rPr>
          <w:rFonts w:hint="default"/>
          <w:color w:val="0000FF"/>
          <w:lang w:val="en-US" w:eastAsia="zh-CN"/>
        </w:rPr>
        <w:t>gjjyxy@gzhu.edu.cn</w:t>
      </w:r>
      <w:r>
        <w:rPr>
          <w:rFonts w:hint="default"/>
          <w:color w:val="0000FF"/>
          <w:lang w:val="en-US" w:eastAsia="zh-CN"/>
        </w:rPr>
        <w:fldChar w:fldCharType="end"/>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100" w:right="0" w:rightChars="0"/>
        <w:jc w:val="both"/>
        <w:textAlignment w:val="baseline"/>
        <w:rPr>
          <w:rFonts w:hint="default"/>
          <w:lang w:val="en-US" w:eastAsia="zh-CN"/>
        </w:rPr>
      </w:pPr>
      <w:r>
        <w:rPr>
          <w:rFonts w:hint="default"/>
          <w:lang w:val="en-US" w:eastAsia="zh-CN"/>
        </w:rPr>
        <w:t>Phone: 0086-20-39366100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Chars="100" w:right="0" w:rightChars="0"/>
        <w:jc w:val="both"/>
        <w:textAlignment w:val="baseline"/>
        <w:rPr>
          <w:rFonts w:hint="default"/>
          <w:lang w:val="en-US" w:eastAsia="zh-CN"/>
        </w:rPr>
      </w:pPr>
      <w:r>
        <w:rPr>
          <w:rFonts w:hint="default"/>
          <w:lang w:val="en-US" w:eastAsia="zh-CN"/>
        </w:rPr>
        <w:t>Address: Room 506, Rear Building of Administration Building East, Guangzhou University, 230 Waihuan West Road, University Town, Guangzhou City.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b/>
          <w:bCs/>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default"/>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8" w:lineRule="atLeast"/>
        <w:ind w:left="0" w:right="0" w:firstLine="0"/>
        <w:jc w:val="both"/>
        <w:textAlignment w:val="baseline"/>
        <w:rPr>
          <w:rFonts w:hint="eastAsia"/>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B4950"/>
    <w:multiLevelType w:val="singleLevel"/>
    <w:tmpl w:val="ECBB4950"/>
    <w:lvl w:ilvl="0" w:tentative="0">
      <w:start w:val="1"/>
      <w:numFmt w:val="bullet"/>
      <w:lvlText w:val=""/>
      <w:lvlJc w:val="left"/>
      <w:pPr>
        <w:ind w:left="420" w:hanging="420"/>
      </w:pPr>
      <w:rPr>
        <w:rFonts w:hint="default" w:ascii="Wingdings" w:hAnsi="Wingdings"/>
      </w:rPr>
    </w:lvl>
  </w:abstractNum>
  <w:abstractNum w:abstractNumId="1">
    <w:nsid w:val="F7FFC5BF"/>
    <w:multiLevelType w:val="singleLevel"/>
    <w:tmpl w:val="F7FFC5BF"/>
    <w:lvl w:ilvl="0" w:tentative="0">
      <w:start w:val="1"/>
      <w:numFmt w:val="decimal"/>
      <w:lvlText w:val="(%1)"/>
      <w:lvlJc w:val="left"/>
      <w:pPr>
        <w:tabs>
          <w:tab w:val="left" w:pos="420"/>
        </w:tabs>
        <w:ind w:left="845" w:hanging="425"/>
      </w:pPr>
      <w:rPr>
        <w:rFonts w:hint="default"/>
      </w:rPr>
    </w:lvl>
  </w:abstractNum>
  <w:abstractNum w:abstractNumId="2">
    <w:nsid w:val="FCE31DC6"/>
    <w:multiLevelType w:val="singleLevel"/>
    <w:tmpl w:val="FCE31DC6"/>
    <w:lvl w:ilvl="0" w:tentative="0">
      <w:start w:val="1"/>
      <w:numFmt w:val="decimal"/>
      <w:lvlText w:val="(%1)"/>
      <w:lvlJc w:val="left"/>
      <w:pPr>
        <w:ind w:left="425" w:hanging="425"/>
      </w:pPr>
      <w:rPr>
        <w:rFonts w:hint="default"/>
      </w:rPr>
    </w:lvl>
  </w:abstractNum>
  <w:abstractNum w:abstractNumId="3">
    <w:nsid w:val="FF9EB050"/>
    <w:multiLevelType w:val="singleLevel"/>
    <w:tmpl w:val="FF9EB050"/>
    <w:lvl w:ilvl="0" w:tentative="0">
      <w:start w:val="1"/>
      <w:numFmt w:val="decimal"/>
      <w:lvlText w:val="(%1)"/>
      <w:lvlJc w:val="left"/>
      <w:pPr>
        <w:ind w:left="425" w:hanging="425"/>
      </w:pPr>
      <w:rPr>
        <w:rFonts w:hint="default"/>
      </w:rPr>
    </w:lvl>
  </w:abstractNum>
  <w:abstractNum w:abstractNumId="4">
    <w:nsid w:val="1DA71199"/>
    <w:multiLevelType w:val="singleLevel"/>
    <w:tmpl w:val="1DA71199"/>
    <w:lvl w:ilvl="0" w:tentative="0">
      <w:start w:val="1"/>
      <w:numFmt w:val="decimal"/>
      <w:suff w:val="space"/>
      <w:lvlText w:val="%1."/>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7FDBC"/>
    <w:rsid w:val="0BBE23B8"/>
    <w:rsid w:val="1977FBA9"/>
    <w:rsid w:val="26B3ABE8"/>
    <w:rsid w:val="477A0CF2"/>
    <w:rsid w:val="4DFF4136"/>
    <w:rsid w:val="59F7FDBC"/>
    <w:rsid w:val="63FB074C"/>
    <w:rsid w:val="6BE16FE9"/>
    <w:rsid w:val="6F3F92EE"/>
    <w:rsid w:val="769F0C1C"/>
    <w:rsid w:val="79BF3C8D"/>
    <w:rsid w:val="7BEF6A3F"/>
    <w:rsid w:val="7C5E6838"/>
    <w:rsid w:val="7DBF3E3E"/>
    <w:rsid w:val="7E6F0139"/>
    <w:rsid w:val="7EDF2C3C"/>
    <w:rsid w:val="9FD180C3"/>
    <w:rsid w:val="D73A3B6E"/>
    <w:rsid w:val="D7D5CF78"/>
    <w:rsid w:val="EEFFF35A"/>
    <w:rsid w:val="F3EDA782"/>
    <w:rsid w:val="F6A72C5E"/>
    <w:rsid w:val="F77C929A"/>
    <w:rsid w:val="F9FFB798"/>
    <w:rsid w:val="FBFF4A95"/>
    <w:rsid w:val="FE5BC7DB"/>
    <w:rsid w:val="FF3DF17A"/>
    <w:rsid w:val="FF3E43AC"/>
    <w:rsid w:val="FFEC6173"/>
    <w:rsid w:val="FFF6E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23</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2025-02-25T16:36:00Z</dcterms:created>
  <dc:creator>Choyce</dc:creator>
  <cp:lastModifiedBy>lcy</cp:lastModifiedBy>
  <dcterms:modified xsi:type="dcterms:W3CDTF">2025-02-27T11:46:04Z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384FEF00D9F6EBD2902FBC6710ADD931_41</vt:lpwstr>
  </property>
</Properties>
</file>